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AB6A6" w14:textId="77CF37D5" w:rsidR="00D42E89" w:rsidRPr="00E15EB1" w:rsidRDefault="00D42E89" w:rsidP="00D42E89">
      <w:pPr>
        <w:ind w:left="1134" w:right="946"/>
        <w:rPr>
          <w:sz w:val="20"/>
          <w:szCs w:val="20"/>
          <w:lang w:val="en-AU"/>
        </w:rPr>
      </w:pPr>
      <w:r w:rsidRPr="00B052F1">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57AA4A49" wp14:editId="730DE9CC">
                <wp:simplePos x="0" y="0"/>
                <wp:positionH relativeFrom="column">
                  <wp:posOffset>-60960</wp:posOffset>
                </wp:positionH>
                <wp:positionV relativeFrom="paragraph">
                  <wp:posOffset>74930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875B0" w14:textId="43E37F89" w:rsidR="003C0AC4" w:rsidRPr="00B516CD" w:rsidRDefault="003C0AC4"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Code of Conduct</w:t>
                            </w:r>
                            <w:r w:rsidR="00F7724F">
                              <w:rPr>
                                <w:rFonts w:asciiTheme="minorHAnsi" w:hAnsiTheme="minorHAnsi"/>
                                <w:color w:val="FFFFFF"/>
                                <w:sz w:val="36"/>
                                <w:szCs w:val="36"/>
                              </w:rPr>
                              <w:t xml:space="preserve"> (</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A4A49" id="_x0000_t202" coordsize="21600,21600" o:spt="202" path="m0,0l0,21600,21600,21600,21600,0xe">
                <v:stroke joinstyle="miter"/>
                <v:path gradientshapeok="t" o:connecttype="rect"/>
              </v:shapetype>
              <v:shape id="Text_x0020_Box_x0020_1" o:spid="_x0000_s1026" type="#_x0000_t202" style="position:absolute;left:0;text-align:left;margin-left:-4.8pt;margin-top:5.9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" fillcolor="black" stroked="f">
                <v:textbox>
                  <w:txbxContent>
                    <w:p w14:paraId="41E875B0" w14:textId="43E37F89" w:rsidR="003C0AC4" w:rsidRPr="00B516CD" w:rsidRDefault="003C0AC4"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Code of Conduct</w:t>
                      </w:r>
                      <w:r w:rsidR="00F7724F">
                        <w:rPr>
                          <w:rFonts w:asciiTheme="minorHAnsi" w:hAnsiTheme="minorHAnsi"/>
                          <w:color w:val="FFFFFF"/>
                          <w:sz w:val="36"/>
                          <w:szCs w:val="36"/>
                        </w:rPr>
                        <w:t xml:space="preserve"> (</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Pr>
          <w:sz w:val="20"/>
          <w:szCs w:val="20"/>
        </w:rPr>
        <w:t>D</w:t>
      </w:r>
      <w:r w:rsidRPr="00E15EB1">
        <w:rPr>
          <w:sz w:val="20"/>
          <w:szCs w:val="20"/>
        </w:rPr>
        <w:t>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the Indigenous Remote Communications Association for any known or unknown consequences that may result from reliance on any information provided in this publication.</w:t>
      </w:r>
    </w:p>
    <w:p w14:paraId="0FC9DDBC" w14:textId="302D3EC7" w:rsidR="00485A57" w:rsidRDefault="00485A57" w:rsidP="00427BFF">
      <w:pPr>
        <w:spacing w:after="0" w:line="240" w:lineRule="auto"/>
      </w:pPr>
    </w:p>
    <w:p w14:paraId="2C231B6E" w14:textId="62488BDE" w:rsidR="00427BFF" w:rsidRPr="008071A5" w:rsidRDefault="00427BFF" w:rsidP="006066FE">
      <w:pPr>
        <w:pStyle w:val="Heading2"/>
        <w:numPr>
          <w:ilvl w:val="0"/>
          <w:numId w:val="10"/>
        </w:numPr>
        <w:spacing w:before="0" w:line="240" w:lineRule="auto"/>
        <w:ind w:hanging="720"/>
        <w:contextualSpacing w:val="0"/>
        <w:rPr>
          <w:lang w:val="en-AU"/>
        </w:rPr>
      </w:pPr>
      <w:r>
        <w:rPr>
          <w:lang w:val="en-AU"/>
        </w:rPr>
        <w:t>Purpose</w:t>
      </w:r>
    </w:p>
    <w:p w14:paraId="038105B9" w14:textId="38D3C27A" w:rsidR="00427BFF" w:rsidRPr="00427BFF" w:rsidRDefault="00427BFF" w:rsidP="00427BFF">
      <w:pPr>
        <w:rPr>
          <w:sz w:val="24"/>
          <w:szCs w:val="24"/>
        </w:rPr>
      </w:pPr>
      <w:r w:rsidRPr="00427BFF">
        <w:rPr>
          <w:sz w:val="24"/>
          <w:szCs w:val="24"/>
        </w:rPr>
        <w:t xml:space="preserve">The purpose of this policy is ensure that </w:t>
      </w:r>
      <w:r w:rsidR="00BA0E25">
        <w:rPr>
          <w:sz w:val="24"/>
          <w:szCs w:val="24"/>
        </w:rPr>
        <w:t>Board Directors</w:t>
      </w:r>
      <w:r w:rsidRPr="00427BFF">
        <w:rPr>
          <w:sz w:val="24"/>
          <w:szCs w:val="24"/>
        </w:rPr>
        <w:t xml:space="preserve"> are aware of behaviour that could amount to misconduct and that all relevant parties are aware of </w:t>
      </w:r>
      <w:r w:rsidR="00BA0E25">
        <w:rPr>
          <w:color w:val="808080"/>
          <w:sz w:val="24"/>
          <w:szCs w:val="24"/>
        </w:rPr>
        <w:t>[ORGANISATION</w:t>
      </w:r>
      <w:r w:rsidRPr="00427BFF">
        <w:rPr>
          <w:color w:val="808080"/>
          <w:sz w:val="24"/>
          <w:szCs w:val="24"/>
        </w:rPr>
        <w:t>]</w:t>
      </w:r>
      <w:r w:rsidRPr="00427BFF">
        <w:rPr>
          <w:sz w:val="24"/>
          <w:szCs w:val="24"/>
        </w:rPr>
        <w:t xml:space="preserve">'s policy for dealing with misconduct. </w:t>
      </w:r>
    </w:p>
    <w:p w14:paraId="0BB98D7C" w14:textId="7EA926D7" w:rsidR="00427BFF" w:rsidRDefault="00427BFF" w:rsidP="00427BFF">
      <w:pPr>
        <w:pStyle w:val="Heading2"/>
        <w:numPr>
          <w:ilvl w:val="0"/>
          <w:numId w:val="10"/>
        </w:numPr>
        <w:ind w:hanging="720"/>
      </w:pPr>
      <w:r>
        <w:t>Application</w:t>
      </w:r>
    </w:p>
    <w:p w14:paraId="5E0EFDE4" w14:textId="713B2F38" w:rsidR="00427BFF" w:rsidRPr="00427BFF" w:rsidRDefault="00427BFF" w:rsidP="00427BFF">
      <w:pPr>
        <w:rPr>
          <w:sz w:val="24"/>
          <w:szCs w:val="24"/>
        </w:rPr>
      </w:pPr>
      <w:r w:rsidRPr="00427BFF">
        <w:rPr>
          <w:sz w:val="24"/>
          <w:szCs w:val="24"/>
        </w:rPr>
        <w:t xml:space="preserve">This policy applies to all </w:t>
      </w:r>
      <w:r w:rsidR="00BA0E25">
        <w:rPr>
          <w:sz w:val="24"/>
          <w:szCs w:val="24"/>
        </w:rPr>
        <w:t>current Directors</w:t>
      </w:r>
      <w:r w:rsidRPr="00427BFF">
        <w:rPr>
          <w:sz w:val="24"/>
          <w:szCs w:val="24"/>
        </w:rPr>
        <w:t xml:space="preserve"> of</w:t>
      </w:r>
      <w:r w:rsidR="00BA0E25">
        <w:rPr>
          <w:sz w:val="24"/>
          <w:szCs w:val="24"/>
        </w:rPr>
        <w:t xml:space="preserve"> the Board of</w:t>
      </w:r>
      <w:r w:rsidRPr="00427BFF">
        <w:rPr>
          <w:sz w:val="24"/>
          <w:szCs w:val="24"/>
        </w:rPr>
        <w:t xml:space="preserve"> </w:t>
      </w:r>
      <w:r w:rsidRPr="00427BFF">
        <w:rPr>
          <w:color w:val="808080"/>
          <w:sz w:val="24"/>
          <w:szCs w:val="24"/>
        </w:rPr>
        <w:t>[ORGANISATION]</w:t>
      </w:r>
      <w:r w:rsidRPr="00427BFF">
        <w:rPr>
          <w:sz w:val="24"/>
          <w:szCs w:val="24"/>
        </w:rPr>
        <w:t xml:space="preserve"> unless otherwise specified. This includes where </w:t>
      </w:r>
      <w:r w:rsidR="00BA0E25">
        <w:rPr>
          <w:sz w:val="24"/>
          <w:szCs w:val="24"/>
        </w:rPr>
        <w:t>Directors</w:t>
      </w:r>
      <w:r w:rsidRPr="00427BFF">
        <w:rPr>
          <w:sz w:val="24"/>
          <w:szCs w:val="24"/>
        </w:rPr>
        <w:t xml:space="preserve"> are </w:t>
      </w:r>
      <w:r w:rsidR="00BA0E25">
        <w:rPr>
          <w:sz w:val="24"/>
          <w:szCs w:val="24"/>
        </w:rPr>
        <w:t>representing [ORGANISATION] as a Board member</w:t>
      </w:r>
      <w:r w:rsidRPr="00427BFF">
        <w:rPr>
          <w:sz w:val="24"/>
          <w:szCs w:val="24"/>
        </w:rPr>
        <w:t xml:space="preserve">, attending a </w:t>
      </w:r>
      <w:r w:rsidR="00BA0E25">
        <w:rPr>
          <w:sz w:val="24"/>
          <w:szCs w:val="24"/>
        </w:rPr>
        <w:t>Board meeting, attending a [ORGANISATION]</w:t>
      </w:r>
      <w:r w:rsidRPr="00427BFF">
        <w:rPr>
          <w:sz w:val="24"/>
          <w:szCs w:val="24"/>
        </w:rPr>
        <w:t xml:space="preserve"> conference </w:t>
      </w:r>
      <w:r w:rsidR="00BA0E25">
        <w:rPr>
          <w:sz w:val="24"/>
          <w:szCs w:val="24"/>
        </w:rPr>
        <w:t xml:space="preserve">or </w:t>
      </w:r>
      <w:r w:rsidRPr="00427BFF">
        <w:rPr>
          <w:sz w:val="24"/>
          <w:szCs w:val="24"/>
        </w:rPr>
        <w:t>function, including retreats and social events.</w:t>
      </w:r>
    </w:p>
    <w:p w14:paraId="15C910E4" w14:textId="476B5605" w:rsidR="00427BFF" w:rsidRDefault="00427BFF" w:rsidP="00427BFF">
      <w:pPr>
        <w:pStyle w:val="Heading2"/>
        <w:numPr>
          <w:ilvl w:val="0"/>
          <w:numId w:val="10"/>
        </w:numPr>
        <w:ind w:hanging="720"/>
      </w:pPr>
      <w:r>
        <w:t>[Organisation]’s values</w:t>
      </w:r>
    </w:p>
    <w:p w14:paraId="7D81B892"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Culture and language</w:t>
      </w:r>
    </w:p>
    <w:p w14:paraId="7492BBE6"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Innovation</w:t>
      </w:r>
    </w:p>
    <w:p w14:paraId="3C3F5CB8"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Opportunity building</w:t>
      </w:r>
    </w:p>
    <w:p w14:paraId="65D4C38D"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Diversity</w:t>
      </w:r>
    </w:p>
    <w:p w14:paraId="2E5EE7B8"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Commitment</w:t>
      </w:r>
    </w:p>
    <w:p w14:paraId="09EC3C1D"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Achievement</w:t>
      </w:r>
    </w:p>
    <w:p w14:paraId="46CAD5D6"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Partnership</w:t>
      </w:r>
    </w:p>
    <w:p w14:paraId="6E7A6082"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Accountability</w:t>
      </w:r>
    </w:p>
    <w:p w14:paraId="67D55F66"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Transparency</w:t>
      </w:r>
    </w:p>
    <w:p w14:paraId="7FB9B5C6" w14:textId="77777777" w:rsidR="00427BFF" w:rsidRPr="00747671"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sz w:val="24"/>
          <w:szCs w:val="24"/>
        </w:rPr>
      </w:pPr>
      <w:r w:rsidRPr="00747671">
        <w:rPr>
          <w:rFonts w:asciiTheme="minorHAnsi" w:hAnsiTheme="minorHAnsi" w:cs="Arial"/>
          <w:kern w:val="1"/>
          <w:sz w:val="24"/>
          <w:szCs w:val="24"/>
        </w:rPr>
        <w:t>Ethical conduct</w:t>
      </w:r>
    </w:p>
    <w:p w14:paraId="6C508100" w14:textId="28F18390" w:rsidR="00427BFF" w:rsidRPr="00047A10" w:rsidRDefault="00427BFF" w:rsidP="00427BFF">
      <w:pPr>
        <w:pStyle w:val="Heading2"/>
        <w:numPr>
          <w:ilvl w:val="0"/>
          <w:numId w:val="10"/>
        </w:numPr>
        <w:ind w:hanging="720"/>
      </w:pPr>
      <w:r w:rsidRPr="00047A10">
        <w:t>Policy</w:t>
      </w:r>
    </w:p>
    <w:p w14:paraId="69A6791B" w14:textId="4F07C0BC" w:rsidR="00427BFF" w:rsidRPr="00747671" w:rsidRDefault="00427BFF" w:rsidP="00BA0E25">
      <w:pPr>
        <w:rPr>
          <w:rFonts w:asciiTheme="minorHAnsi" w:hAnsiTheme="minorHAnsi" w:cs="Arial"/>
          <w:kern w:val="1"/>
          <w:sz w:val="24"/>
          <w:szCs w:val="24"/>
        </w:rPr>
      </w:pPr>
      <w:r w:rsidRPr="00747671">
        <w:rPr>
          <w:rFonts w:asciiTheme="minorHAnsi" w:hAnsiTheme="minorHAnsi"/>
          <w:color w:val="808080"/>
          <w:sz w:val="24"/>
          <w:szCs w:val="24"/>
        </w:rPr>
        <w:t>[Organisation]</w:t>
      </w:r>
      <w:r w:rsidRPr="00747671">
        <w:rPr>
          <w:rFonts w:asciiTheme="minorHAnsi" w:hAnsiTheme="minorHAnsi"/>
          <w:sz w:val="24"/>
          <w:szCs w:val="24"/>
        </w:rPr>
        <w:t xml:space="preserve"> expects </w:t>
      </w:r>
      <w:r w:rsidR="00BA0E25" w:rsidRPr="00747671">
        <w:rPr>
          <w:rFonts w:asciiTheme="minorHAnsi" w:hAnsiTheme="minorHAnsi"/>
          <w:sz w:val="24"/>
          <w:szCs w:val="24"/>
        </w:rPr>
        <w:t>Directors</w:t>
      </w:r>
      <w:r w:rsidRPr="00747671">
        <w:rPr>
          <w:rFonts w:asciiTheme="minorHAnsi" w:hAnsiTheme="minorHAnsi"/>
          <w:sz w:val="24"/>
          <w:szCs w:val="24"/>
        </w:rPr>
        <w:t xml:space="preserve"> to observe acceptable standards of behaviour.</w:t>
      </w:r>
      <w:r w:rsidR="00BA0E25" w:rsidRPr="00747671">
        <w:rPr>
          <w:rFonts w:asciiTheme="minorHAnsi" w:hAnsiTheme="minorHAnsi"/>
          <w:sz w:val="24"/>
          <w:szCs w:val="24"/>
        </w:rPr>
        <w:t xml:space="preserve"> </w:t>
      </w:r>
      <w:r w:rsidRPr="00747671">
        <w:rPr>
          <w:rFonts w:asciiTheme="minorHAnsi" w:hAnsiTheme="minorHAnsi" w:cs="Arial"/>
          <w:kern w:val="1"/>
          <w:sz w:val="24"/>
          <w:szCs w:val="24"/>
        </w:rPr>
        <w:t xml:space="preserve">The Code of Conduct </w:t>
      </w:r>
      <w:r w:rsidR="00BA0E25" w:rsidRPr="00747671">
        <w:rPr>
          <w:rFonts w:asciiTheme="minorHAnsi" w:hAnsiTheme="minorHAnsi" w:cs="Arial"/>
          <w:kern w:val="1"/>
          <w:sz w:val="24"/>
          <w:szCs w:val="24"/>
        </w:rPr>
        <w:t xml:space="preserve">(Board) requires that a Director </w:t>
      </w:r>
      <w:r w:rsidRPr="00747671">
        <w:rPr>
          <w:rFonts w:asciiTheme="minorHAnsi" w:hAnsiTheme="minorHAnsi" w:cs="Arial"/>
          <w:kern w:val="1"/>
          <w:sz w:val="24"/>
          <w:szCs w:val="24"/>
        </w:rPr>
        <w:t xml:space="preserve">must in the </w:t>
      </w:r>
      <w:r w:rsidR="00747671" w:rsidRPr="00747671">
        <w:rPr>
          <w:rFonts w:asciiTheme="minorHAnsi" w:hAnsiTheme="minorHAnsi" w:cs="Arial"/>
          <w:kern w:val="1"/>
          <w:sz w:val="24"/>
          <w:szCs w:val="24"/>
        </w:rPr>
        <w:t xml:space="preserve">exercise of </w:t>
      </w:r>
      <w:r w:rsidR="00BA0E25" w:rsidRPr="00747671">
        <w:rPr>
          <w:rFonts w:asciiTheme="minorHAnsi" w:hAnsiTheme="minorHAnsi" w:cs="Arial"/>
          <w:kern w:val="1"/>
          <w:sz w:val="24"/>
          <w:szCs w:val="24"/>
        </w:rPr>
        <w:t>their role as a Director:</w:t>
      </w:r>
      <w:r w:rsidRPr="00747671">
        <w:rPr>
          <w:rFonts w:asciiTheme="minorHAnsi" w:hAnsiTheme="minorHAnsi" w:cs="Arial"/>
          <w:kern w:val="1"/>
          <w:sz w:val="24"/>
          <w:szCs w:val="24"/>
        </w:rPr>
        <w:t xml:space="preserve">- </w:t>
      </w:r>
    </w:p>
    <w:p w14:paraId="3BD66220" w14:textId="03E31E1B" w:rsidR="00BA0E25" w:rsidRPr="00747671" w:rsidRDefault="00BA0E25" w:rsidP="00BA0E25">
      <w:pPr>
        <w:pStyle w:val="ListParagraph"/>
        <w:numPr>
          <w:ilvl w:val="0"/>
          <w:numId w:val="17"/>
        </w:numPr>
        <w:spacing w:after="0" w:line="240" w:lineRule="auto"/>
        <w:rPr>
          <w:sz w:val="24"/>
          <w:szCs w:val="24"/>
        </w:rPr>
      </w:pPr>
      <w:r w:rsidRPr="00747671">
        <w:rPr>
          <w:sz w:val="24"/>
          <w:szCs w:val="24"/>
        </w:rPr>
        <w:t xml:space="preserve">Make a high priority of attending all meetings of the Board and </w:t>
      </w:r>
      <w:r w:rsidRPr="00747671">
        <w:rPr>
          <w:sz w:val="24"/>
          <w:szCs w:val="24"/>
        </w:rPr>
        <w:t xml:space="preserve">any </w:t>
      </w:r>
      <w:r w:rsidRPr="00747671">
        <w:rPr>
          <w:sz w:val="24"/>
          <w:szCs w:val="24"/>
        </w:rPr>
        <w:t>Committees</w:t>
      </w:r>
      <w:r w:rsidRPr="00747671">
        <w:rPr>
          <w:sz w:val="24"/>
          <w:szCs w:val="24"/>
        </w:rPr>
        <w:t>.</w:t>
      </w:r>
      <w:r w:rsidRPr="00747671">
        <w:rPr>
          <w:sz w:val="24"/>
          <w:szCs w:val="24"/>
        </w:rPr>
        <w:t xml:space="preserve"> </w:t>
      </w:r>
    </w:p>
    <w:p w14:paraId="2A7F2E28" w14:textId="0886F8A0" w:rsidR="00BA0E25" w:rsidRPr="00747671" w:rsidRDefault="00BA0E25" w:rsidP="00BA0E25">
      <w:pPr>
        <w:pStyle w:val="ListParagraph"/>
        <w:numPr>
          <w:ilvl w:val="0"/>
          <w:numId w:val="17"/>
        </w:numPr>
        <w:spacing w:after="0" w:line="240" w:lineRule="auto"/>
        <w:rPr>
          <w:sz w:val="24"/>
          <w:szCs w:val="24"/>
        </w:rPr>
      </w:pPr>
      <w:r w:rsidRPr="00747671">
        <w:rPr>
          <w:sz w:val="24"/>
          <w:szCs w:val="24"/>
        </w:rPr>
        <w:lastRenderedPageBreak/>
        <w:t>Be prepared to discuss the issues and business of scheduled Board Meetings, having read the Agenda and any background material relevant to the topics</w:t>
      </w:r>
      <w:r w:rsidRPr="00747671">
        <w:rPr>
          <w:sz w:val="24"/>
          <w:szCs w:val="24"/>
        </w:rPr>
        <w:t>.</w:t>
      </w:r>
    </w:p>
    <w:p w14:paraId="6C1A87C6" w14:textId="0C7E48CD" w:rsidR="00BA0E25" w:rsidRPr="00747671" w:rsidRDefault="00BA0E25" w:rsidP="00BA0E25">
      <w:pPr>
        <w:pStyle w:val="ListParagraph"/>
        <w:numPr>
          <w:ilvl w:val="0"/>
          <w:numId w:val="17"/>
        </w:numPr>
        <w:spacing w:after="0" w:line="240" w:lineRule="auto"/>
        <w:rPr>
          <w:sz w:val="24"/>
          <w:szCs w:val="24"/>
        </w:rPr>
      </w:pPr>
      <w:r w:rsidRPr="00747671">
        <w:rPr>
          <w:sz w:val="24"/>
          <w:szCs w:val="24"/>
        </w:rPr>
        <w:t>Maintain the confidentiality of what is said or seen at Board or Board Committee Meetings</w:t>
      </w:r>
      <w:r w:rsidRPr="00747671">
        <w:rPr>
          <w:sz w:val="24"/>
          <w:szCs w:val="24"/>
        </w:rPr>
        <w:t>.</w:t>
      </w:r>
    </w:p>
    <w:p w14:paraId="50D7AF90" w14:textId="6253D55A" w:rsidR="00BA0E25" w:rsidRPr="00747671" w:rsidRDefault="00BA0E25" w:rsidP="00BA0E25">
      <w:pPr>
        <w:pStyle w:val="ListParagraph"/>
        <w:numPr>
          <w:ilvl w:val="0"/>
          <w:numId w:val="17"/>
        </w:numPr>
        <w:spacing w:after="0" w:line="240" w:lineRule="auto"/>
        <w:rPr>
          <w:sz w:val="24"/>
          <w:szCs w:val="24"/>
        </w:rPr>
      </w:pPr>
      <w:r w:rsidRPr="00747671">
        <w:rPr>
          <w:sz w:val="24"/>
          <w:szCs w:val="24"/>
        </w:rPr>
        <w:t xml:space="preserve">Work with and respect the opinions of </w:t>
      </w:r>
      <w:r w:rsidRPr="00747671">
        <w:rPr>
          <w:sz w:val="24"/>
          <w:szCs w:val="24"/>
        </w:rPr>
        <w:t>other Directors.</w:t>
      </w:r>
    </w:p>
    <w:p w14:paraId="7D77123B" w14:textId="52F68658" w:rsidR="00BA0E25" w:rsidRPr="00747671" w:rsidRDefault="00BA0E25" w:rsidP="00BA0E25">
      <w:pPr>
        <w:pStyle w:val="ListParagraph"/>
        <w:numPr>
          <w:ilvl w:val="0"/>
          <w:numId w:val="17"/>
        </w:numPr>
        <w:spacing w:after="0" w:line="240" w:lineRule="auto"/>
        <w:rPr>
          <w:sz w:val="24"/>
          <w:szCs w:val="24"/>
        </w:rPr>
      </w:pPr>
      <w:r w:rsidRPr="00747671">
        <w:rPr>
          <w:sz w:val="24"/>
          <w:szCs w:val="24"/>
        </w:rPr>
        <w:t>Always act for the good of [ORGANISATION] and its members.</w:t>
      </w:r>
      <w:r w:rsidRPr="00747671">
        <w:rPr>
          <w:sz w:val="24"/>
          <w:szCs w:val="24"/>
        </w:rPr>
        <w:t xml:space="preserve"> </w:t>
      </w:r>
    </w:p>
    <w:p w14:paraId="5C03695A" w14:textId="36A72642" w:rsidR="00BA0E25" w:rsidRPr="00747671" w:rsidRDefault="00BA0E25" w:rsidP="00BA0E25">
      <w:pPr>
        <w:pStyle w:val="ListParagraph"/>
        <w:numPr>
          <w:ilvl w:val="0"/>
          <w:numId w:val="17"/>
        </w:numPr>
        <w:spacing w:after="0" w:line="240" w:lineRule="auto"/>
        <w:rPr>
          <w:sz w:val="24"/>
          <w:szCs w:val="24"/>
        </w:rPr>
      </w:pPr>
      <w:r w:rsidRPr="00747671">
        <w:rPr>
          <w:sz w:val="24"/>
          <w:szCs w:val="24"/>
        </w:rPr>
        <w:t>Represent [ORGANISATION] in a positive and supportive manner at all times and in all places</w:t>
      </w:r>
      <w:r w:rsidRPr="00747671">
        <w:rPr>
          <w:sz w:val="24"/>
          <w:szCs w:val="24"/>
        </w:rPr>
        <w:t>.</w:t>
      </w:r>
    </w:p>
    <w:p w14:paraId="09ED8EB8" w14:textId="77777777" w:rsidR="00BA0E25" w:rsidRPr="00747671" w:rsidRDefault="00BA0E25" w:rsidP="00BA0E25">
      <w:pPr>
        <w:pStyle w:val="ListParagraph"/>
        <w:numPr>
          <w:ilvl w:val="0"/>
          <w:numId w:val="17"/>
        </w:numPr>
        <w:spacing w:after="0" w:line="240" w:lineRule="auto"/>
        <w:rPr>
          <w:sz w:val="24"/>
          <w:szCs w:val="24"/>
        </w:rPr>
      </w:pPr>
      <w:r w:rsidRPr="00747671">
        <w:rPr>
          <w:sz w:val="24"/>
          <w:szCs w:val="24"/>
        </w:rPr>
        <w:t xml:space="preserve">Observe meeting procedures and be courteous in all Board and Committee Meetings; </w:t>
      </w:r>
    </w:p>
    <w:p w14:paraId="7988E755" w14:textId="29B3E98F" w:rsidR="00BA0E25" w:rsidRPr="00747671" w:rsidRDefault="00BA0E25" w:rsidP="00BA0E25">
      <w:pPr>
        <w:pStyle w:val="ListParagraph"/>
        <w:numPr>
          <w:ilvl w:val="0"/>
          <w:numId w:val="17"/>
        </w:numPr>
        <w:spacing w:after="0" w:line="240" w:lineRule="auto"/>
        <w:rPr>
          <w:sz w:val="24"/>
          <w:szCs w:val="24"/>
        </w:rPr>
      </w:pPr>
      <w:r w:rsidRPr="00747671">
        <w:rPr>
          <w:sz w:val="24"/>
          <w:szCs w:val="24"/>
        </w:rPr>
        <w:t>Not intrude on operational matters that are the responsibility of management, except to monitor the results and prohibit methods that may conflict with Board Policy</w:t>
      </w:r>
      <w:r w:rsidR="00747671" w:rsidRPr="00747671">
        <w:rPr>
          <w:sz w:val="24"/>
          <w:szCs w:val="24"/>
        </w:rPr>
        <w:t>.</w:t>
      </w:r>
    </w:p>
    <w:p w14:paraId="141F9474" w14:textId="7B437159" w:rsidR="00BA0E25" w:rsidRPr="00747671" w:rsidRDefault="00747671" w:rsidP="00BA0E25">
      <w:pPr>
        <w:pStyle w:val="ListParagraph"/>
        <w:numPr>
          <w:ilvl w:val="0"/>
          <w:numId w:val="17"/>
        </w:numPr>
        <w:spacing w:after="0" w:line="240" w:lineRule="auto"/>
        <w:rPr>
          <w:sz w:val="24"/>
          <w:szCs w:val="24"/>
        </w:rPr>
      </w:pPr>
      <w:r w:rsidRPr="00747671">
        <w:rPr>
          <w:sz w:val="24"/>
          <w:szCs w:val="24"/>
        </w:rPr>
        <w:t xml:space="preserve">Avoid conflicts of interest but where a conflict exists, </w:t>
      </w:r>
      <w:r w:rsidR="00BA0E25" w:rsidRPr="00747671">
        <w:rPr>
          <w:sz w:val="24"/>
          <w:szCs w:val="24"/>
        </w:rPr>
        <w:t xml:space="preserve">declare that conflict before the Board Meeting and refrain from voting on matters </w:t>
      </w:r>
      <w:r w:rsidRPr="00747671">
        <w:rPr>
          <w:sz w:val="24"/>
          <w:szCs w:val="24"/>
        </w:rPr>
        <w:t xml:space="preserve"> for which the</w:t>
      </w:r>
      <w:r w:rsidR="00BA0E25" w:rsidRPr="00747671">
        <w:rPr>
          <w:sz w:val="24"/>
          <w:szCs w:val="24"/>
        </w:rPr>
        <w:t xml:space="preserve"> conflict</w:t>
      </w:r>
      <w:r w:rsidRPr="00747671">
        <w:rPr>
          <w:sz w:val="24"/>
          <w:szCs w:val="24"/>
        </w:rPr>
        <w:t xml:space="preserve"> exists. </w:t>
      </w:r>
      <w:r w:rsidR="00BA0E25" w:rsidRPr="00747671">
        <w:rPr>
          <w:sz w:val="24"/>
          <w:szCs w:val="24"/>
        </w:rPr>
        <w:t xml:space="preserve"> </w:t>
      </w:r>
    </w:p>
    <w:p w14:paraId="1A8EE143" w14:textId="2157139F" w:rsidR="00BA0E25" w:rsidRPr="00747671" w:rsidRDefault="00BA0E25" w:rsidP="00BA0E25">
      <w:pPr>
        <w:pStyle w:val="ListParagraph"/>
        <w:numPr>
          <w:ilvl w:val="0"/>
          <w:numId w:val="17"/>
        </w:numPr>
        <w:spacing w:after="0" w:line="240" w:lineRule="auto"/>
        <w:rPr>
          <w:sz w:val="24"/>
          <w:szCs w:val="24"/>
        </w:rPr>
      </w:pPr>
      <w:r w:rsidRPr="00747671">
        <w:rPr>
          <w:sz w:val="24"/>
          <w:szCs w:val="24"/>
        </w:rPr>
        <w:t>Support in a positive manner all actions taken by the Board</w:t>
      </w:r>
      <w:r w:rsidR="00747671" w:rsidRPr="00747671">
        <w:rPr>
          <w:sz w:val="24"/>
          <w:szCs w:val="24"/>
        </w:rPr>
        <w:t>.</w:t>
      </w:r>
      <w:r w:rsidRPr="00747671">
        <w:rPr>
          <w:sz w:val="24"/>
          <w:szCs w:val="24"/>
        </w:rPr>
        <w:t xml:space="preserve"> </w:t>
      </w:r>
    </w:p>
    <w:p w14:paraId="099740C8" w14:textId="350AA3E8" w:rsidR="00BA0E25" w:rsidRPr="00747671" w:rsidRDefault="00747671" w:rsidP="00BA0E25">
      <w:pPr>
        <w:pStyle w:val="ListParagraph"/>
        <w:widowControl w:val="0"/>
        <w:numPr>
          <w:ilvl w:val="0"/>
          <w:numId w:val="17"/>
        </w:numPr>
        <w:autoSpaceDE w:val="0"/>
        <w:autoSpaceDN w:val="0"/>
        <w:adjustRightInd w:val="0"/>
        <w:spacing w:after="260" w:line="240" w:lineRule="auto"/>
        <w:outlineLvl w:val="0"/>
        <w:rPr>
          <w:sz w:val="24"/>
          <w:szCs w:val="24"/>
        </w:rPr>
      </w:pPr>
      <w:r w:rsidRPr="00747671">
        <w:rPr>
          <w:sz w:val="24"/>
          <w:szCs w:val="24"/>
        </w:rPr>
        <w:t>Participate in Strategic Planning, B</w:t>
      </w:r>
      <w:r w:rsidR="00BA0E25" w:rsidRPr="00747671">
        <w:rPr>
          <w:sz w:val="24"/>
          <w:szCs w:val="24"/>
        </w:rPr>
        <w:t xml:space="preserve">oard </w:t>
      </w:r>
      <w:r w:rsidRPr="00747671">
        <w:rPr>
          <w:sz w:val="24"/>
          <w:szCs w:val="24"/>
        </w:rPr>
        <w:t xml:space="preserve">development workshops and </w:t>
      </w:r>
      <w:r w:rsidR="00BA0E25" w:rsidRPr="00747671">
        <w:rPr>
          <w:sz w:val="24"/>
          <w:szCs w:val="24"/>
        </w:rPr>
        <w:t>governance training</w:t>
      </w:r>
      <w:r w:rsidRPr="00747671">
        <w:rPr>
          <w:sz w:val="24"/>
          <w:szCs w:val="24"/>
        </w:rPr>
        <w:t>.</w:t>
      </w:r>
    </w:p>
    <w:p w14:paraId="05CF5AEA" w14:textId="4E55226F" w:rsidR="00427BFF" w:rsidRPr="00747671" w:rsidRDefault="00427BFF" w:rsidP="00427BFF">
      <w:pPr>
        <w:rPr>
          <w:sz w:val="24"/>
          <w:szCs w:val="24"/>
        </w:rPr>
      </w:pPr>
      <w:r w:rsidRPr="00747671">
        <w:rPr>
          <w:sz w:val="24"/>
          <w:szCs w:val="24"/>
        </w:rPr>
        <w:t>Examples of behaviour that do not meet these standards includes, but is not limited to, the following:</w:t>
      </w:r>
    </w:p>
    <w:p w14:paraId="5D166D20" w14:textId="24D9A8BD" w:rsidR="00427BFF" w:rsidRPr="00747671" w:rsidRDefault="00BA0E25" w:rsidP="00427BFF">
      <w:pPr>
        <w:numPr>
          <w:ilvl w:val="0"/>
          <w:numId w:val="9"/>
        </w:numPr>
        <w:spacing w:before="60" w:after="120" w:line="240" w:lineRule="auto"/>
        <w:contextualSpacing/>
        <w:rPr>
          <w:sz w:val="24"/>
          <w:szCs w:val="24"/>
        </w:rPr>
      </w:pPr>
      <w:r w:rsidRPr="00747671">
        <w:rPr>
          <w:sz w:val="24"/>
          <w:szCs w:val="24"/>
        </w:rPr>
        <w:t>F</w:t>
      </w:r>
      <w:r w:rsidR="00427BFF" w:rsidRPr="00747671">
        <w:rPr>
          <w:sz w:val="24"/>
          <w:szCs w:val="24"/>
        </w:rPr>
        <w:t xml:space="preserve">ailing to follow </w:t>
      </w:r>
      <w:r w:rsidR="00747671">
        <w:rPr>
          <w:sz w:val="24"/>
          <w:szCs w:val="24"/>
        </w:rPr>
        <w:t>Board policies.</w:t>
      </w:r>
    </w:p>
    <w:p w14:paraId="06F1EEB7" w14:textId="79E06A74" w:rsidR="00427BFF" w:rsidRPr="00747671" w:rsidRDefault="00BA0E25" w:rsidP="00427BFF">
      <w:pPr>
        <w:numPr>
          <w:ilvl w:val="0"/>
          <w:numId w:val="9"/>
        </w:numPr>
        <w:spacing w:before="60" w:after="120" w:line="240" w:lineRule="auto"/>
        <w:contextualSpacing/>
        <w:rPr>
          <w:sz w:val="24"/>
          <w:szCs w:val="24"/>
        </w:rPr>
      </w:pPr>
      <w:r w:rsidRPr="00747671">
        <w:rPr>
          <w:sz w:val="24"/>
          <w:szCs w:val="24"/>
        </w:rPr>
        <w:t>U</w:t>
      </w:r>
      <w:r w:rsidR="00427BFF" w:rsidRPr="00747671">
        <w:rPr>
          <w:sz w:val="24"/>
          <w:szCs w:val="24"/>
        </w:rPr>
        <w:t>n</w:t>
      </w:r>
      <w:r w:rsidR="00747671">
        <w:rPr>
          <w:sz w:val="24"/>
          <w:szCs w:val="24"/>
        </w:rPr>
        <w:t>acceptable disruptive behaviour.</w:t>
      </w:r>
    </w:p>
    <w:p w14:paraId="12DD0917" w14:textId="775B6656" w:rsidR="00427BFF" w:rsidRDefault="00BA0E25" w:rsidP="00427BFF">
      <w:pPr>
        <w:numPr>
          <w:ilvl w:val="0"/>
          <w:numId w:val="9"/>
        </w:numPr>
        <w:spacing w:before="60" w:after="120" w:line="240" w:lineRule="auto"/>
        <w:contextualSpacing/>
        <w:rPr>
          <w:sz w:val="24"/>
          <w:szCs w:val="24"/>
        </w:rPr>
      </w:pPr>
      <w:r w:rsidRPr="00747671">
        <w:rPr>
          <w:sz w:val="24"/>
          <w:szCs w:val="24"/>
        </w:rPr>
        <w:t>Regular absence from Board of Director meetings.</w:t>
      </w:r>
      <w:r w:rsidR="00427BFF" w:rsidRPr="00747671">
        <w:rPr>
          <w:sz w:val="24"/>
          <w:szCs w:val="24"/>
        </w:rPr>
        <w:t xml:space="preserve"> </w:t>
      </w:r>
    </w:p>
    <w:p w14:paraId="1A3AC5D8" w14:textId="22AEA3F3" w:rsidR="00747671" w:rsidRDefault="00747671" w:rsidP="00427BFF">
      <w:pPr>
        <w:numPr>
          <w:ilvl w:val="0"/>
          <w:numId w:val="9"/>
        </w:numPr>
        <w:spacing w:before="60" w:after="120" w:line="240" w:lineRule="auto"/>
        <w:contextualSpacing/>
        <w:rPr>
          <w:sz w:val="24"/>
          <w:szCs w:val="24"/>
        </w:rPr>
      </w:pPr>
      <w:r>
        <w:rPr>
          <w:sz w:val="24"/>
          <w:szCs w:val="24"/>
        </w:rPr>
        <w:t>Speaking publicly against a Board decision.</w:t>
      </w:r>
    </w:p>
    <w:p w14:paraId="5BC4A9B0" w14:textId="2B711FC8" w:rsidR="00747671" w:rsidRPr="00747671" w:rsidRDefault="00747671" w:rsidP="00427BFF">
      <w:pPr>
        <w:numPr>
          <w:ilvl w:val="0"/>
          <w:numId w:val="9"/>
        </w:numPr>
        <w:spacing w:before="60" w:after="120" w:line="240" w:lineRule="auto"/>
        <w:contextualSpacing/>
        <w:rPr>
          <w:sz w:val="24"/>
          <w:szCs w:val="24"/>
        </w:rPr>
      </w:pPr>
      <w:r>
        <w:rPr>
          <w:sz w:val="24"/>
          <w:szCs w:val="24"/>
        </w:rPr>
        <w:t>Speaking publicly in a derogatory manner about an [[ORGANISATION] member, or community member].</w:t>
      </w:r>
    </w:p>
    <w:p w14:paraId="4B818260" w14:textId="77777777" w:rsidR="00747671" w:rsidRDefault="00747671" w:rsidP="00427BFF">
      <w:pPr>
        <w:rPr>
          <w:b/>
          <w:sz w:val="24"/>
          <w:szCs w:val="24"/>
        </w:rPr>
      </w:pPr>
    </w:p>
    <w:p w14:paraId="45274FB4" w14:textId="77777777" w:rsidR="00427BFF" w:rsidRPr="00747671" w:rsidRDefault="00427BFF" w:rsidP="00427BFF">
      <w:pPr>
        <w:rPr>
          <w:b/>
          <w:sz w:val="24"/>
          <w:szCs w:val="24"/>
        </w:rPr>
      </w:pPr>
      <w:r w:rsidRPr="00747671">
        <w:rPr>
          <w:b/>
          <w:sz w:val="24"/>
          <w:szCs w:val="24"/>
        </w:rPr>
        <w:t>Serious misconduct</w:t>
      </w:r>
    </w:p>
    <w:p w14:paraId="25B5E419" w14:textId="723D74C7" w:rsidR="00427BFF" w:rsidRPr="00747671" w:rsidRDefault="00427BFF" w:rsidP="00427BFF">
      <w:pPr>
        <w:rPr>
          <w:sz w:val="24"/>
          <w:szCs w:val="24"/>
        </w:rPr>
      </w:pPr>
      <w:r w:rsidRPr="00747671">
        <w:rPr>
          <w:sz w:val="24"/>
          <w:szCs w:val="24"/>
        </w:rPr>
        <w:t>Whether misconduct amounts to serious misconduct depends on the particular circumstances of a given case. Behaviour amounting to serious misconduct includes, but is not limited to:</w:t>
      </w:r>
    </w:p>
    <w:p w14:paraId="7B9A2292" w14:textId="77777777" w:rsidR="003A1076" w:rsidRPr="00747671" w:rsidRDefault="003A1076" w:rsidP="003A1076">
      <w:pPr>
        <w:numPr>
          <w:ilvl w:val="0"/>
          <w:numId w:val="8"/>
        </w:numPr>
        <w:spacing w:before="60" w:after="120" w:line="240" w:lineRule="auto"/>
        <w:contextualSpacing/>
        <w:rPr>
          <w:sz w:val="24"/>
          <w:szCs w:val="24"/>
        </w:rPr>
      </w:pPr>
      <w:r w:rsidRPr="00747671">
        <w:rPr>
          <w:sz w:val="24"/>
          <w:szCs w:val="24"/>
        </w:rPr>
        <w:t>Concealment of a material fact in decision-making</w:t>
      </w:r>
    </w:p>
    <w:p w14:paraId="42784D1C" w14:textId="5607D0B8" w:rsidR="00427BFF" w:rsidRPr="00B24310" w:rsidRDefault="00BA0E25" w:rsidP="00BE40C1">
      <w:pPr>
        <w:numPr>
          <w:ilvl w:val="0"/>
          <w:numId w:val="8"/>
        </w:numPr>
        <w:spacing w:before="60" w:after="120" w:line="240" w:lineRule="auto"/>
        <w:contextualSpacing/>
        <w:rPr>
          <w:sz w:val="24"/>
          <w:szCs w:val="24"/>
        </w:rPr>
      </w:pPr>
      <w:r w:rsidRPr="00B24310">
        <w:rPr>
          <w:sz w:val="24"/>
          <w:szCs w:val="24"/>
        </w:rPr>
        <w:t>T</w:t>
      </w:r>
      <w:r w:rsidR="00747671" w:rsidRPr="00B24310">
        <w:rPr>
          <w:sz w:val="24"/>
          <w:szCs w:val="24"/>
        </w:rPr>
        <w:t>heft</w:t>
      </w:r>
      <w:r w:rsidR="003A1076">
        <w:rPr>
          <w:sz w:val="24"/>
          <w:szCs w:val="24"/>
        </w:rPr>
        <w:t xml:space="preserve"> or fraud</w:t>
      </w:r>
      <w:bookmarkStart w:id="0" w:name="_GoBack"/>
      <w:bookmarkEnd w:id="0"/>
    </w:p>
    <w:p w14:paraId="1C32F8E0" w14:textId="01AC3334" w:rsidR="00427BFF" w:rsidRPr="00747671" w:rsidRDefault="00BA0E25" w:rsidP="00427BFF">
      <w:pPr>
        <w:numPr>
          <w:ilvl w:val="0"/>
          <w:numId w:val="8"/>
        </w:numPr>
        <w:spacing w:before="60" w:after="120" w:line="240" w:lineRule="auto"/>
        <w:contextualSpacing/>
        <w:rPr>
          <w:sz w:val="24"/>
          <w:szCs w:val="24"/>
        </w:rPr>
      </w:pPr>
      <w:r w:rsidRPr="00747671">
        <w:rPr>
          <w:sz w:val="24"/>
          <w:szCs w:val="24"/>
        </w:rPr>
        <w:t>A</w:t>
      </w:r>
      <w:r w:rsidR="00747671">
        <w:rPr>
          <w:sz w:val="24"/>
          <w:szCs w:val="24"/>
        </w:rPr>
        <w:t>ssault</w:t>
      </w:r>
    </w:p>
    <w:p w14:paraId="6A826AB6" w14:textId="798F0AAB" w:rsidR="00427BFF" w:rsidRPr="00747671" w:rsidRDefault="00BA0E25" w:rsidP="00427BFF">
      <w:pPr>
        <w:numPr>
          <w:ilvl w:val="0"/>
          <w:numId w:val="8"/>
        </w:numPr>
        <w:spacing w:before="60" w:after="120" w:line="240" w:lineRule="auto"/>
        <w:contextualSpacing/>
        <w:rPr>
          <w:sz w:val="24"/>
          <w:szCs w:val="24"/>
        </w:rPr>
      </w:pPr>
      <w:r w:rsidRPr="00747671">
        <w:rPr>
          <w:sz w:val="24"/>
          <w:szCs w:val="24"/>
        </w:rPr>
        <w:t xml:space="preserve">intoxication at an event or meeting of </w:t>
      </w:r>
      <w:r w:rsidR="00747671">
        <w:rPr>
          <w:sz w:val="24"/>
          <w:szCs w:val="24"/>
        </w:rPr>
        <w:t>ORGANISATION]</w:t>
      </w:r>
    </w:p>
    <w:p w14:paraId="2844B0F2" w14:textId="323102E7" w:rsidR="00427BFF" w:rsidRPr="00747671" w:rsidRDefault="00BA0E25" w:rsidP="00427BFF">
      <w:pPr>
        <w:numPr>
          <w:ilvl w:val="0"/>
          <w:numId w:val="8"/>
        </w:numPr>
        <w:spacing w:before="60" w:after="120" w:line="240" w:lineRule="auto"/>
        <w:contextualSpacing/>
        <w:rPr>
          <w:sz w:val="24"/>
          <w:szCs w:val="24"/>
        </w:rPr>
      </w:pPr>
      <w:r w:rsidRPr="00747671">
        <w:rPr>
          <w:sz w:val="24"/>
          <w:szCs w:val="24"/>
        </w:rPr>
        <w:t>U</w:t>
      </w:r>
      <w:r w:rsidR="00427BFF" w:rsidRPr="00747671">
        <w:rPr>
          <w:sz w:val="24"/>
          <w:szCs w:val="24"/>
        </w:rPr>
        <w:t>se of derogato</w:t>
      </w:r>
      <w:r w:rsidR="00747671">
        <w:rPr>
          <w:sz w:val="24"/>
          <w:szCs w:val="24"/>
        </w:rPr>
        <w:t>ry, violent or abusive language</w:t>
      </w:r>
    </w:p>
    <w:p w14:paraId="152E8A3A" w14:textId="12FC386D" w:rsidR="00427BFF" w:rsidRPr="00747671" w:rsidRDefault="00BA0E25" w:rsidP="00427BFF">
      <w:pPr>
        <w:widowControl w:val="0"/>
        <w:numPr>
          <w:ilvl w:val="0"/>
          <w:numId w:val="8"/>
        </w:numPr>
        <w:autoSpaceDE w:val="0"/>
        <w:autoSpaceDN w:val="0"/>
        <w:adjustRightInd w:val="0"/>
        <w:spacing w:before="60" w:after="260" w:line="240" w:lineRule="auto"/>
        <w:contextualSpacing/>
        <w:rPr>
          <w:rFonts w:ascii="Arial" w:hAnsi="Arial" w:cs="Arial"/>
          <w:spacing w:val="-20"/>
          <w:kern w:val="1"/>
          <w:sz w:val="24"/>
          <w:szCs w:val="24"/>
        </w:rPr>
      </w:pPr>
      <w:r w:rsidRPr="00747671">
        <w:rPr>
          <w:sz w:val="24"/>
          <w:szCs w:val="24"/>
        </w:rPr>
        <w:t>O</w:t>
      </w:r>
      <w:r w:rsidR="00427BFF" w:rsidRPr="00747671">
        <w:rPr>
          <w:sz w:val="24"/>
          <w:szCs w:val="24"/>
        </w:rPr>
        <w:t>bscenity</w:t>
      </w:r>
    </w:p>
    <w:p w14:paraId="421E3F21" w14:textId="7D31BD7A" w:rsidR="00377535" w:rsidRPr="00747671" w:rsidRDefault="00BA0E25" w:rsidP="00377535">
      <w:pPr>
        <w:numPr>
          <w:ilvl w:val="0"/>
          <w:numId w:val="8"/>
        </w:numPr>
        <w:spacing w:before="60" w:after="120" w:line="240" w:lineRule="auto"/>
        <w:contextualSpacing/>
        <w:rPr>
          <w:sz w:val="24"/>
          <w:szCs w:val="24"/>
        </w:rPr>
      </w:pPr>
      <w:r w:rsidRPr="00747671">
        <w:rPr>
          <w:sz w:val="24"/>
          <w:szCs w:val="24"/>
        </w:rPr>
        <w:t>C</w:t>
      </w:r>
      <w:r w:rsidR="00427BFF" w:rsidRPr="00747671">
        <w:rPr>
          <w:sz w:val="24"/>
          <w:szCs w:val="24"/>
        </w:rPr>
        <w:t>riminal conduct including conduct</w:t>
      </w:r>
      <w:r w:rsidR="00377535" w:rsidRPr="00747671">
        <w:rPr>
          <w:sz w:val="24"/>
          <w:szCs w:val="24"/>
        </w:rPr>
        <w:t xml:space="preserve"> that, if proven, renders the </w:t>
      </w:r>
      <w:r w:rsidRPr="00747671">
        <w:rPr>
          <w:sz w:val="24"/>
          <w:szCs w:val="24"/>
        </w:rPr>
        <w:t>Director</w:t>
      </w:r>
      <w:r w:rsidR="00377535" w:rsidRPr="00747671">
        <w:rPr>
          <w:sz w:val="24"/>
          <w:szCs w:val="24"/>
        </w:rPr>
        <w:t xml:space="preserve"> unfit for </w:t>
      </w:r>
      <w:r w:rsidRPr="00747671">
        <w:rPr>
          <w:sz w:val="24"/>
          <w:szCs w:val="24"/>
        </w:rPr>
        <w:t>a Directorship</w:t>
      </w:r>
      <w:r w:rsidR="00377535" w:rsidRPr="00747671">
        <w:rPr>
          <w:sz w:val="24"/>
          <w:szCs w:val="24"/>
        </w:rPr>
        <w:t>.</w:t>
      </w:r>
    </w:p>
    <w:p w14:paraId="7932C7AC" w14:textId="369D0D91" w:rsidR="00427BFF" w:rsidRDefault="00427BFF" w:rsidP="00377535">
      <w:pPr>
        <w:widowControl w:val="0"/>
        <w:autoSpaceDE w:val="0"/>
        <w:autoSpaceDN w:val="0"/>
        <w:adjustRightInd w:val="0"/>
        <w:spacing w:before="60" w:after="260" w:line="240" w:lineRule="auto"/>
        <w:ind w:left="720"/>
        <w:contextualSpacing/>
        <w:rPr>
          <w:rFonts w:ascii="Arial" w:hAnsi="Arial" w:cs="Arial"/>
          <w:spacing w:val="-20"/>
          <w:kern w:val="1"/>
        </w:rPr>
      </w:pPr>
    </w:p>
    <w:p w14:paraId="423AFFCA"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lastRenderedPageBreak/>
        <w:t>Relevant legislation</w:t>
      </w:r>
    </w:p>
    <w:p w14:paraId="37A61698" w14:textId="77777777" w:rsidR="00C05D36" w:rsidRPr="00747671" w:rsidRDefault="00C05D36" w:rsidP="00C05D36">
      <w:pPr>
        <w:pStyle w:val="ListParagraph"/>
        <w:numPr>
          <w:ilvl w:val="0"/>
          <w:numId w:val="16"/>
        </w:numPr>
        <w:spacing w:after="0" w:line="240" w:lineRule="auto"/>
        <w:rPr>
          <w:rFonts w:asciiTheme="minorHAnsi" w:hAnsiTheme="minorHAnsi"/>
          <w:sz w:val="24"/>
          <w:szCs w:val="24"/>
        </w:rPr>
      </w:pPr>
      <w:r w:rsidRPr="00747671">
        <w:rPr>
          <w:rFonts w:asciiTheme="minorHAnsi" w:hAnsiTheme="minorHAnsi"/>
          <w:sz w:val="24"/>
          <w:szCs w:val="24"/>
        </w:rPr>
        <w:t>Age Discrimination Act 2004</w:t>
      </w:r>
    </w:p>
    <w:p w14:paraId="29D89198" w14:textId="74563853" w:rsidR="00C05D36" w:rsidRPr="00747671" w:rsidRDefault="00C05D36" w:rsidP="00C05D36">
      <w:pPr>
        <w:pStyle w:val="ListParagraph"/>
        <w:numPr>
          <w:ilvl w:val="0"/>
          <w:numId w:val="16"/>
        </w:numPr>
        <w:spacing w:after="0" w:line="240" w:lineRule="auto"/>
        <w:rPr>
          <w:rFonts w:asciiTheme="minorHAnsi" w:hAnsiTheme="minorHAnsi"/>
          <w:sz w:val="24"/>
          <w:szCs w:val="24"/>
        </w:rPr>
      </w:pPr>
      <w:r w:rsidRPr="00747671">
        <w:rPr>
          <w:rFonts w:asciiTheme="minorHAnsi" w:hAnsiTheme="minorHAnsi"/>
          <w:sz w:val="24"/>
          <w:szCs w:val="24"/>
        </w:rPr>
        <w:t>Crimes Acts of States and Territories</w:t>
      </w:r>
    </w:p>
    <w:p w14:paraId="79BDA559" w14:textId="77777777" w:rsidR="00C05D36" w:rsidRPr="00747671" w:rsidRDefault="00C05D36" w:rsidP="00C05D36">
      <w:pPr>
        <w:pStyle w:val="ListParagraph"/>
        <w:numPr>
          <w:ilvl w:val="0"/>
          <w:numId w:val="16"/>
        </w:numPr>
        <w:spacing w:after="0" w:line="240" w:lineRule="auto"/>
        <w:rPr>
          <w:rFonts w:asciiTheme="minorHAnsi" w:hAnsiTheme="minorHAnsi"/>
          <w:sz w:val="24"/>
          <w:szCs w:val="24"/>
        </w:rPr>
      </w:pPr>
      <w:r w:rsidRPr="00747671">
        <w:rPr>
          <w:rFonts w:asciiTheme="minorHAnsi" w:hAnsiTheme="minorHAnsi"/>
          <w:sz w:val="24"/>
          <w:szCs w:val="24"/>
        </w:rPr>
        <w:t>Disability Discrimination Act 1992</w:t>
      </w:r>
    </w:p>
    <w:p w14:paraId="7B7D4941" w14:textId="77777777" w:rsidR="00C05D36" w:rsidRPr="00747671" w:rsidRDefault="00C05D36" w:rsidP="00C05D36">
      <w:pPr>
        <w:pStyle w:val="ListParagraph"/>
        <w:numPr>
          <w:ilvl w:val="0"/>
          <w:numId w:val="16"/>
        </w:numPr>
        <w:spacing w:after="0" w:line="240" w:lineRule="auto"/>
        <w:rPr>
          <w:rFonts w:asciiTheme="minorHAnsi" w:hAnsiTheme="minorHAnsi"/>
          <w:sz w:val="24"/>
          <w:szCs w:val="24"/>
        </w:rPr>
      </w:pPr>
      <w:r w:rsidRPr="00747671">
        <w:rPr>
          <w:rFonts w:asciiTheme="minorHAnsi" w:hAnsiTheme="minorHAnsi"/>
          <w:sz w:val="24"/>
          <w:szCs w:val="24"/>
        </w:rPr>
        <w:t>Fair Work Act 2009</w:t>
      </w:r>
    </w:p>
    <w:p w14:paraId="1070419F" w14:textId="77777777" w:rsidR="00C05D36" w:rsidRPr="00747671" w:rsidRDefault="00C05D36" w:rsidP="00C05D36">
      <w:pPr>
        <w:pStyle w:val="ListParagraph"/>
        <w:numPr>
          <w:ilvl w:val="0"/>
          <w:numId w:val="16"/>
        </w:numPr>
        <w:spacing w:after="0" w:line="240" w:lineRule="auto"/>
        <w:rPr>
          <w:rFonts w:asciiTheme="minorHAnsi" w:hAnsiTheme="minorHAnsi"/>
          <w:sz w:val="24"/>
          <w:szCs w:val="24"/>
        </w:rPr>
      </w:pPr>
      <w:r w:rsidRPr="00747671">
        <w:rPr>
          <w:rFonts w:asciiTheme="minorHAnsi" w:hAnsiTheme="minorHAnsi"/>
          <w:sz w:val="24"/>
          <w:szCs w:val="24"/>
        </w:rPr>
        <w:t>Racial Discrimination Act 1975</w:t>
      </w:r>
    </w:p>
    <w:p w14:paraId="3D921FBE" w14:textId="77777777" w:rsidR="00C05D36" w:rsidRPr="00747671" w:rsidRDefault="00F43865" w:rsidP="00C05D36">
      <w:pPr>
        <w:pStyle w:val="ListParagraph"/>
        <w:numPr>
          <w:ilvl w:val="0"/>
          <w:numId w:val="16"/>
        </w:numPr>
        <w:spacing w:after="0" w:line="240" w:lineRule="auto"/>
        <w:rPr>
          <w:rFonts w:asciiTheme="minorHAnsi" w:hAnsiTheme="minorHAnsi"/>
          <w:sz w:val="24"/>
          <w:szCs w:val="24"/>
        </w:rPr>
      </w:pPr>
      <w:hyperlink r:id="rId8" w:tgtFrame="_blank" w:history="1">
        <w:r w:rsidR="00C05D36" w:rsidRPr="00747671">
          <w:rPr>
            <w:rFonts w:asciiTheme="minorHAnsi" w:hAnsiTheme="minorHAnsi"/>
            <w:sz w:val="24"/>
            <w:szCs w:val="24"/>
          </w:rPr>
          <w:t>S</w:t>
        </w:r>
      </w:hyperlink>
      <w:r w:rsidR="00C05D36" w:rsidRPr="00747671">
        <w:rPr>
          <w:rFonts w:asciiTheme="minorHAnsi" w:hAnsiTheme="minorHAnsi"/>
          <w:sz w:val="24"/>
          <w:szCs w:val="24"/>
        </w:rPr>
        <w:t>ex Discrimination Act 1984</w:t>
      </w:r>
    </w:p>
    <w:p w14:paraId="0B52FFDD" w14:textId="77777777" w:rsidR="00C05D36" w:rsidRPr="00D0678E" w:rsidRDefault="00C05D36" w:rsidP="00C05D36">
      <w:pPr>
        <w:rPr>
          <w:rFonts w:asciiTheme="minorHAnsi" w:hAnsiTheme="minorHAnsi"/>
        </w:rPr>
      </w:pPr>
    </w:p>
    <w:p w14:paraId="31A72102"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Associated policies</w:t>
      </w:r>
    </w:p>
    <w:p w14:paraId="2ABBCCA1" w14:textId="46AD25E0" w:rsidR="00C05D36" w:rsidRPr="00747671" w:rsidRDefault="00747671" w:rsidP="00C05D36">
      <w:pPr>
        <w:numPr>
          <w:ilvl w:val="0"/>
          <w:numId w:val="14"/>
        </w:numPr>
        <w:spacing w:after="0" w:line="240" w:lineRule="auto"/>
        <w:rPr>
          <w:rFonts w:asciiTheme="minorHAnsi" w:hAnsiTheme="minorHAnsi" w:cs="Arial"/>
          <w:sz w:val="24"/>
          <w:szCs w:val="24"/>
        </w:rPr>
      </w:pPr>
      <w:r w:rsidRPr="00747671">
        <w:rPr>
          <w:rFonts w:asciiTheme="minorHAnsi" w:hAnsiTheme="minorHAnsi"/>
          <w:sz w:val="24"/>
          <w:szCs w:val="24"/>
        </w:rPr>
        <w:t>Communications Policy</w:t>
      </w:r>
    </w:p>
    <w:p w14:paraId="42738CE5" w14:textId="68154D31" w:rsidR="00747671" w:rsidRPr="00747671" w:rsidRDefault="00747671" w:rsidP="00C05D36">
      <w:pPr>
        <w:numPr>
          <w:ilvl w:val="0"/>
          <w:numId w:val="14"/>
        </w:numPr>
        <w:spacing w:after="0" w:line="240" w:lineRule="auto"/>
        <w:rPr>
          <w:rFonts w:asciiTheme="minorHAnsi" w:hAnsiTheme="minorHAnsi" w:cs="Arial"/>
          <w:sz w:val="24"/>
          <w:szCs w:val="24"/>
        </w:rPr>
      </w:pPr>
      <w:r>
        <w:rPr>
          <w:rFonts w:asciiTheme="minorHAnsi" w:hAnsiTheme="minorHAnsi"/>
          <w:sz w:val="24"/>
          <w:szCs w:val="24"/>
        </w:rPr>
        <w:t>Confidentiality (Board) Policy</w:t>
      </w:r>
    </w:p>
    <w:p w14:paraId="65F0F5DF" w14:textId="143F4132" w:rsidR="00747671" w:rsidRPr="00747671" w:rsidRDefault="00747671" w:rsidP="00C05D36">
      <w:pPr>
        <w:numPr>
          <w:ilvl w:val="0"/>
          <w:numId w:val="14"/>
        </w:numPr>
        <w:spacing w:after="0" w:line="240" w:lineRule="auto"/>
        <w:rPr>
          <w:rFonts w:asciiTheme="minorHAnsi" w:hAnsiTheme="minorHAnsi" w:cs="Arial"/>
          <w:sz w:val="24"/>
          <w:szCs w:val="24"/>
        </w:rPr>
      </w:pPr>
      <w:r>
        <w:rPr>
          <w:rFonts w:asciiTheme="minorHAnsi" w:hAnsiTheme="minorHAnsi"/>
          <w:sz w:val="24"/>
          <w:szCs w:val="24"/>
        </w:rPr>
        <w:t>Conflict of Interest (Board) Policy</w:t>
      </w:r>
    </w:p>
    <w:p w14:paraId="37D2A69A" w14:textId="77777777" w:rsidR="00C05D36" w:rsidRPr="00D0678E" w:rsidRDefault="00C05D36" w:rsidP="00C05D36">
      <w:pPr>
        <w:ind w:left="720"/>
        <w:rPr>
          <w:rFonts w:asciiTheme="minorHAnsi" w:hAnsiTheme="minorHAnsi" w:cs="Arial"/>
        </w:rPr>
      </w:pPr>
    </w:p>
    <w:p w14:paraId="274E3558" w14:textId="77777777" w:rsidR="00C05D36" w:rsidRPr="00D0678E" w:rsidRDefault="00C05D36" w:rsidP="00C05D36">
      <w:pPr>
        <w:pStyle w:val="Heading2"/>
        <w:spacing w:before="60" w:after="120"/>
        <w:rPr>
          <w:rFonts w:asciiTheme="minorHAnsi" w:hAnsiTheme="minorHAnsi"/>
          <w:sz w:val="22"/>
          <w:szCs w:val="22"/>
        </w:rPr>
      </w:pPr>
    </w:p>
    <w:p w14:paraId="7E612ACF"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Authorisation</w:t>
      </w:r>
    </w:p>
    <w:p w14:paraId="50717D2A" w14:textId="035E18F1" w:rsidR="00C05D36" w:rsidRPr="00D0678E" w:rsidRDefault="00C05D36" w:rsidP="00C05D36">
      <w:pPr>
        <w:rPr>
          <w:rFonts w:asciiTheme="minorHAnsi" w:hAnsiTheme="minorHAnsi"/>
          <w:color w:val="808080"/>
        </w:rPr>
      </w:pPr>
      <w:r w:rsidRPr="00D0678E">
        <w:rPr>
          <w:rFonts w:asciiTheme="minorHAnsi" w:hAnsiTheme="minorHAnsi"/>
          <w:color w:val="808080"/>
        </w:rPr>
        <w:t>&lt;Signature of Board Chair&gt;</w:t>
      </w:r>
      <w:r>
        <w:rPr>
          <w:rFonts w:asciiTheme="minorHAnsi" w:hAnsiTheme="minorHAnsi"/>
          <w:color w:val="808080"/>
        </w:rPr>
        <w:br/>
      </w:r>
      <w:r w:rsidRPr="00D0678E">
        <w:rPr>
          <w:rFonts w:asciiTheme="minorHAnsi" w:hAnsiTheme="minorHAnsi"/>
          <w:color w:val="808080"/>
        </w:rPr>
        <w:t>&lt;Signature of Manager&gt;</w:t>
      </w:r>
      <w:r w:rsidRPr="00D0678E">
        <w:rPr>
          <w:rFonts w:asciiTheme="minorHAnsi" w:hAnsiTheme="minorHAnsi"/>
          <w:color w:val="808080"/>
        </w:rPr>
        <w:br/>
        <w:t>&lt;Date of approval by the Board&gt;</w:t>
      </w:r>
      <w:r w:rsidRPr="00D0678E">
        <w:rPr>
          <w:rFonts w:asciiTheme="minorHAnsi" w:hAnsiTheme="minorHAnsi"/>
          <w:color w:val="808080"/>
        </w:rPr>
        <w:br/>
        <w:t>&lt;Name of Organisation&gt;</w:t>
      </w:r>
    </w:p>
    <w:p w14:paraId="40E79E2C" w14:textId="7B92D850" w:rsidR="00BA0E25" w:rsidRDefault="00BA0E25" w:rsidP="00747671">
      <w:pPr>
        <w:pStyle w:val="ListParagraph"/>
        <w:widowControl w:val="0"/>
        <w:autoSpaceDE w:val="0"/>
        <w:autoSpaceDN w:val="0"/>
        <w:adjustRightInd w:val="0"/>
        <w:spacing w:after="260" w:line="240" w:lineRule="auto"/>
        <w:outlineLvl w:val="0"/>
      </w:pPr>
    </w:p>
    <w:sectPr w:rsidR="00BA0E25" w:rsidSect="006066FE">
      <w:footerReference w:type="even" r:id="rId9"/>
      <w:footerReference w:type="default" r:id="rId10"/>
      <w:headerReference w:type="first" r:id="rId11"/>
      <w:footerReference w:type="first" r:id="rId12"/>
      <w:pgSz w:w="11906" w:h="16838"/>
      <w:pgMar w:top="1140" w:right="1440" w:bottom="1440" w:left="1440" w:header="720" w:footer="14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5FAD" w14:textId="77777777" w:rsidR="00F43865" w:rsidRDefault="00F43865">
      <w:pPr>
        <w:spacing w:after="0" w:line="240" w:lineRule="auto"/>
      </w:pPr>
      <w:r>
        <w:separator/>
      </w:r>
    </w:p>
  </w:endnote>
  <w:endnote w:type="continuationSeparator" w:id="0">
    <w:p w14:paraId="2E0D439A" w14:textId="77777777" w:rsidR="00F43865" w:rsidRDefault="00F4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6066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562A" w14:textId="77777777" w:rsidR="006066FE" w:rsidRDefault="006066FE"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076">
      <w:rPr>
        <w:rStyle w:val="PageNumber"/>
        <w:noProof/>
      </w:rPr>
      <w:t>1</w:t>
    </w:r>
    <w:r>
      <w:rPr>
        <w:rStyle w:val="PageNumber"/>
      </w:rPr>
      <w:fldChar w:fldCharType="end"/>
    </w:r>
  </w:p>
  <w:p w14:paraId="7083CA93" w14:textId="671C75BB" w:rsidR="007E6EBC" w:rsidRDefault="007E6EBC" w:rsidP="006066FE">
    <w:pPr>
      <w:tabs>
        <w:tab w:val="center" w:pos="4513"/>
        <w:tab w:val="right" w:pos="9026"/>
      </w:tabs>
      <w:spacing w:after="708" w:line="240" w:lineRule="auto"/>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44B1" w14:textId="77777777" w:rsidR="00F43865" w:rsidRDefault="00F43865">
      <w:pPr>
        <w:spacing w:after="0" w:line="240" w:lineRule="auto"/>
      </w:pPr>
      <w:r>
        <w:separator/>
      </w:r>
    </w:p>
  </w:footnote>
  <w:footnote w:type="continuationSeparator" w:id="0">
    <w:p w14:paraId="7EFC8F70" w14:textId="77777777" w:rsidR="00F43865" w:rsidRDefault="00F438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54170D3D"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459C8"/>
    <w:multiLevelType w:val="hybridMultilevel"/>
    <w:tmpl w:val="08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3F3C"/>
    <w:multiLevelType w:val="hybridMultilevel"/>
    <w:tmpl w:val="22BE33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2A44CA"/>
    <w:multiLevelType w:val="hybridMultilevel"/>
    <w:tmpl w:val="14289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30D00"/>
    <w:multiLevelType w:val="hybridMultilevel"/>
    <w:tmpl w:val="EEA85C00"/>
    <w:lvl w:ilvl="0" w:tplc="857A2E5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DA3A50"/>
    <w:multiLevelType w:val="hybridMultilevel"/>
    <w:tmpl w:val="8F52D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752B90"/>
    <w:multiLevelType w:val="hybridMultilevel"/>
    <w:tmpl w:val="F4AE5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54882D43"/>
    <w:multiLevelType w:val="hybridMultilevel"/>
    <w:tmpl w:val="4162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E43CE8"/>
    <w:multiLevelType w:val="hybridMultilevel"/>
    <w:tmpl w:val="85F8DCD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5">
    <w:nsid w:val="707F7984"/>
    <w:multiLevelType w:val="hybridMultilevel"/>
    <w:tmpl w:val="065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467925"/>
    <w:multiLevelType w:val="hybridMultilevel"/>
    <w:tmpl w:val="800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0"/>
  </w:num>
  <w:num w:numId="6">
    <w:abstractNumId w:val="14"/>
  </w:num>
  <w:num w:numId="7">
    <w:abstractNumId w:val="2"/>
  </w:num>
  <w:num w:numId="8">
    <w:abstractNumId w:val="16"/>
  </w:num>
  <w:num w:numId="9">
    <w:abstractNumId w:val="15"/>
  </w:num>
  <w:num w:numId="10">
    <w:abstractNumId w:val="4"/>
  </w:num>
  <w:num w:numId="11">
    <w:abstractNumId w:val="10"/>
  </w:num>
  <w:num w:numId="12">
    <w:abstractNumId w:val="9"/>
  </w:num>
  <w:num w:numId="13">
    <w:abstractNumId w:val="3"/>
  </w:num>
  <w:num w:numId="14">
    <w:abstractNumId w:val="1"/>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440AD"/>
    <w:rsid w:val="00047BDA"/>
    <w:rsid w:val="000752C2"/>
    <w:rsid w:val="00087130"/>
    <w:rsid w:val="000A3E4E"/>
    <w:rsid w:val="000B10A8"/>
    <w:rsid w:val="000B4EEC"/>
    <w:rsid w:val="00165C19"/>
    <w:rsid w:val="001D3CFC"/>
    <w:rsid w:val="001E0907"/>
    <w:rsid w:val="00307702"/>
    <w:rsid w:val="00372B10"/>
    <w:rsid w:val="00377535"/>
    <w:rsid w:val="003A1076"/>
    <w:rsid w:val="003C0AC4"/>
    <w:rsid w:val="003F3A31"/>
    <w:rsid w:val="003F3B2C"/>
    <w:rsid w:val="0041026C"/>
    <w:rsid w:val="00427BFF"/>
    <w:rsid w:val="0046712F"/>
    <w:rsid w:val="00485A57"/>
    <w:rsid w:val="004E296E"/>
    <w:rsid w:val="00505E62"/>
    <w:rsid w:val="005A1623"/>
    <w:rsid w:val="005A42AE"/>
    <w:rsid w:val="005D5A33"/>
    <w:rsid w:val="005F6339"/>
    <w:rsid w:val="006066FE"/>
    <w:rsid w:val="006277B9"/>
    <w:rsid w:val="00642415"/>
    <w:rsid w:val="00671AA2"/>
    <w:rsid w:val="006C396D"/>
    <w:rsid w:val="006E423C"/>
    <w:rsid w:val="00747671"/>
    <w:rsid w:val="007719E4"/>
    <w:rsid w:val="00775A2B"/>
    <w:rsid w:val="007A521F"/>
    <w:rsid w:val="007C046A"/>
    <w:rsid w:val="007C3636"/>
    <w:rsid w:val="007E6EBC"/>
    <w:rsid w:val="00945041"/>
    <w:rsid w:val="00983443"/>
    <w:rsid w:val="009B420E"/>
    <w:rsid w:val="009B4DBC"/>
    <w:rsid w:val="009C6528"/>
    <w:rsid w:val="00AA042A"/>
    <w:rsid w:val="00AF186A"/>
    <w:rsid w:val="00B24310"/>
    <w:rsid w:val="00B55ED0"/>
    <w:rsid w:val="00BA0E25"/>
    <w:rsid w:val="00BD4D02"/>
    <w:rsid w:val="00BD76A3"/>
    <w:rsid w:val="00C02EAD"/>
    <w:rsid w:val="00C05D36"/>
    <w:rsid w:val="00C82226"/>
    <w:rsid w:val="00C95538"/>
    <w:rsid w:val="00D22D28"/>
    <w:rsid w:val="00D37152"/>
    <w:rsid w:val="00D42E89"/>
    <w:rsid w:val="00D72BE0"/>
    <w:rsid w:val="00D87ED6"/>
    <w:rsid w:val="00DB0C71"/>
    <w:rsid w:val="00DB423C"/>
    <w:rsid w:val="00E45B89"/>
    <w:rsid w:val="00E6514E"/>
    <w:rsid w:val="00E94ABE"/>
    <w:rsid w:val="00EA7978"/>
    <w:rsid w:val="00EB4FE1"/>
    <w:rsid w:val="00EB5934"/>
    <w:rsid w:val="00F11786"/>
    <w:rsid w:val="00F14F56"/>
    <w:rsid w:val="00F27471"/>
    <w:rsid w:val="00F43865"/>
    <w:rsid w:val="00F52862"/>
    <w:rsid w:val="00F7724F"/>
    <w:rsid w:val="00FA69B5"/>
    <w:rsid w:val="00FD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uiPriority w:val="34"/>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4D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D4D02"/>
    <w:rPr>
      <w:rFonts w:ascii="Times New Roman" w:hAnsi="Times New Roman" w:cs="Times New Roman"/>
      <w:sz w:val="24"/>
      <w:szCs w:val="24"/>
    </w:rPr>
  </w:style>
  <w:style w:type="character" w:customStyle="1" w:styleId="Heading1Char">
    <w:name w:val="Heading 1 Char"/>
    <w:basedOn w:val="DefaultParagraphFont"/>
    <w:link w:val="Heading1"/>
    <w:rsid w:val="003C0AC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slation.gov.au/Details/C2011A00040"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D3E18C-8D35-EE4F-8C99-29AD8A2E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4</cp:revision>
  <cp:lastPrinted>2016-03-10T05:39:00Z</cp:lastPrinted>
  <dcterms:created xsi:type="dcterms:W3CDTF">2018-04-21T08:46:00Z</dcterms:created>
  <dcterms:modified xsi:type="dcterms:W3CDTF">2018-04-21T09:08:00Z</dcterms:modified>
</cp:coreProperties>
</file>